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574AA">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F4FBB9E">
      <w:pPr>
        <w:spacing w:line="540" w:lineRule="exact"/>
        <w:jc w:val="center"/>
        <w:rPr>
          <w:rFonts w:ascii="方正小标宋_GBK" w:hAnsi="华文中宋" w:eastAsia="方正小标宋_GBK" w:cs="宋体"/>
          <w:b/>
          <w:kern w:val="0"/>
          <w:sz w:val="48"/>
          <w:szCs w:val="48"/>
        </w:rPr>
      </w:pPr>
    </w:p>
    <w:p w14:paraId="3CB83C41">
      <w:pPr>
        <w:spacing w:line="540" w:lineRule="exact"/>
        <w:jc w:val="center"/>
        <w:rPr>
          <w:rFonts w:ascii="方正小标宋_GBK" w:hAnsi="华文中宋" w:eastAsia="方正小标宋_GBK" w:cs="宋体"/>
          <w:b/>
          <w:kern w:val="0"/>
          <w:sz w:val="48"/>
          <w:szCs w:val="48"/>
        </w:rPr>
      </w:pPr>
    </w:p>
    <w:p w14:paraId="43D4D9DA">
      <w:pPr>
        <w:spacing w:line="540" w:lineRule="exact"/>
        <w:jc w:val="center"/>
        <w:rPr>
          <w:rFonts w:ascii="方正小标宋_GBK" w:hAnsi="华文中宋" w:eastAsia="方正小标宋_GBK" w:cs="宋体"/>
          <w:b/>
          <w:kern w:val="0"/>
          <w:sz w:val="48"/>
          <w:szCs w:val="48"/>
        </w:rPr>
      </w:pPr>
    </w:p>
    <w:p w14:paraId="17F3B4FB">
      <w:pPr>
        <w:spacing w:line="540" w:lineRule="exact"/>
        <w:jc w:val="center"/>
        <w:rPr>
          <w:rFonts w:ascii="方正小标宋_GBK" w:hAnsi="华文中宋" w:eastAsia="方正小标宋_GBK" w:cs="宋体"/>
          <w:b/>
          <w:kern w:val="0"/>
          <w:sz w:val="48"/>
          <w:szCs w:val="48"/>
        </w:rPr>
      </w:pPr>
    </w:p>
    <w:p w14:paraId="3FEB1893">
      <w:pPr>
        <w:spacing w:line="540" w:lineRule="exact"/>
        <w:jc w:val="center"/>
        <w:rPr>
          <w:rFonts w:ascii="方正小标宋_GBK" w:hAnsi="华文中宋" w:eastAsia="方正小标宋_GBK" w:cs="宋体"/>
          <w:b/>
          <w:kern w:val="0"/>
          <w:sz w:val="48"/>
          <w:szCs w:val="48"/>
        </w:rPr>
      </w:pPr>
    </w:p>
    <w:p w14:paraId="0FD1FCAC">
      <w:pPr>
        <w:spacing w:line="540" w:lineRule="exact"/>
        <w:jc w:val="center"/>
        <w:rPr>
          <w:rFonts w:ascii="方正小标宋_GBK" w:hAnsi="华文中宋" w:eastAsia="方正小标宋_GBK" w:cs="宋体"/>
          <w:b/>
          <w:kern w:val="0"/>
          <w:sz w:val="48"/>
          <w:szCs w:val="48"/>
        </w:rPr>
      </w:pPr>
    </w:p>
    <w:p w14:paraId="579FB41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3F1A53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DC17B62">
      <w:pPr>
        <w:spacing w:line="540" w:lineRule="exact"/>
        <w:jc w:val="center"/>
        <w:rPr>
          <w:rFonts w:ascii="华文中宋" w:hAnsi="华文中宋" w:eastAsia="华文中宋" w:cs="宋体"/>
          <w:b/>
          <w:kern w:val="0"/>
          <w:sz w:val="52"/>
          <w:szCs w:val="52"/>
        </w:rPr>
      </w:pPr>
    </w:p>
    <w:p w14:paraId="4BE991BA">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5A9CAB9">
      <w:pPr>
        <w:spacing w:line="700" w:lineRule="exact"/>
        <w:jc w:val="left"/>
        <w:rPr>
          <w:rFonts w:hint="eastAsia" w:hAnsi="宋体" w:eastAsia="仿宋_GB2312" w:cs="宋体"/>
          <w:kern w:val="0"/>
          <w:sz w:val="36"/>
          <w:szCs w:val="36"/>
        </w:rPr>
      </w:pPr>
    </w:p>
    <w:p w14:paraId="6182D8B5">
      <w:pPr>
        <w:spacing w:line="700" w:lineRule="exact"/>
        <w:jc w:val="left"/>
        <w:rPr>
          <w:rFonts w:hint="eastAsia" w:hAnsi="宋体" w:eastAsia="仿宋_GB2312" w:cs="宋体"/>
          <w:kern w:val="0"/>
          <w:sz w:val="36"/>
          <w:szCs w:val="36"/>
        </w:rPr>
      </w:pPr>
    </w:p>
    <w:p w14:paraId="08708A84">
      <w:pPr>
        <w:spacing w:line="700" w:lineRule="exact"/>
        <w:jc w:val="left"/>
        <w:rPr>
          <w:rFonts w:hint="eastAsia" w:hAnsi="宋体" w:eastAsia="仿宋_GB2312" w:cs="宋体"/>
          <w:kern w:val="0"/>
          <w:sz w:val="36"/>
          <w:szCs w:val="36"/>
          <w:lang w:eastAsia="zh-CN"/>
        </w:rPr>
      </w:pPr>
    </w:p>
    <w:p w14:paraId="616A3ECB">
      <w:pPr>
        <w:spacing w:line="700" w:lineRule="exact"/>
        <w:jc w:val="left"/>
        <w:rPr>
          <w:rFonts w:hint="eastAsia" w:hAnsi="宋体" w:eastAsia="仿宋_GB2312" w:cs="宋体"/>
          <w:kern w:val="0"/>
          <w:sz w:val="36"/>
          <w:szCs w:val="36"/>
          <w:lang w:eastAsia="zh-CN"/>
        </w:rPr>
      </w:pPr>
    </w:p>
    <w:p w14:paraId="0935CDE3">
      <w:pPr>
        <w:spacing w:line="700" w:lineRule="exact"/>
        <w:jc w:val="left"/>
        <w:rPr>
          <w:rFonts w:hint="eastAsia" w:hAnsi="宋体" w:eastAsia="仿宋_GB2312" w:cs="宋体"/>
          <w:kern w:val="0"/>
          <w:sz w:val="36"/>
          <w:szCs w:val="36"/>
          <w:lang w:eastAsia="zh-CN"/>
        </w:rPr>
      </w:pPr>
    </w:p>
    <w:p w14:paraId="1113FAB8">
      <w:pPr>
        <w:spacing w:line="700" w:lineRule="exact"/>
        <w:jc w:val="left"/>
        <w:rPr>
          <w:rFonts w:hint="eastAsia" w:hAnsi="宋体" w:eastAsia="仿宋_GB2312" w:cs="宋体"/>
          <w:kern w:val="0"/>
          <w:sz w:val="36"/>
          <w:szCs w:val="36"/>
          <w:lang w:eastAsia="zh-CN"/>
        </w:rPr>
      </w:pPr>
    </w:p>
    <w:p w14:paraId="59BD8FE2">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克州财政局</w:t>
      </w:r>
    </w:p>
    <w:p w14:paraId="3972F021">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2022年05月14日</w:t>
      </w:r>
    </w:p>
    <w:p w14:paraId="40D56D98">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4A6C9BB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7247FB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国家财政、税收、行政事业单位国有资产管理法规、制度和方针政策；结合克州实际制定克州财政、财务、会计管理、行政事业单位国有资产管理等方面的实施办法和部门规章制度，并监督实施。根据克州国民经济和社会发展战略，拟定克州财政发展战略、中长期财政规划和改革方案并组织实施；承担克州各项财政收支管理责任；负责编制克州本级预决算草案并组织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拟定和执行统一规定的行政事业单位开支标准，负责建立和实施国库集中支付制度；管理财政社会保障支出，组织实施对社会保障资金使用的财政监督；执行社会保障资金财务制度、基本建设财务管理规定</w:t>
      </w:r>
      <w:r>
        <w:rPr>
          <w:rFonts w:hint="eastAsia" w:ascii="仿宋_GB2312" w:hAnsi="宋体" w:eastAsia="仿宋_GB2312"/>
          <w:b w:val="0"/>
          <w:bCs/>
          <w:sz w:val="32"/>
          <w:szCs w:val="32"/>
          <w:lang w:eastAsia="zh-CN"/>
        </w:rPr>
        <w:t>及</w:t>
      </w:r>
      <w:r>
        <w:rPr>
          <w:rFonts w:hint="eastAsia" w:ascii="仿宋_GB2312" w:hAnsi="宋体" w:eastAsia="仿宋_GB2312"/>
          <w:b w:val="0"/>
          <w:bCs/>
          <w:sz w:val="32"/>
          <w:szCs w:val="32"/>
        </w:rPr>
        <w:t>分行业企业制度、行政、事业单位会计制度、财务规则。执行非经营性国有资产的产权管理制度；负责非经营性国有资产的监管。参与财政性资金项目安排总量研究；组织调度财政性基本建设资金等。</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克州财政局本级下设12个处室，分别是：办公室、综合科、预算科、文行科、国库科、经济企业科、农业农村科、会计科、社会保障科、国资办、金融工作办公室、财政监督检查科。</w:t>
      </w:r>
      <w:r>
        <w:rPr>
          <w:rFonts w:hint="eastAsia" w:ascii="仿宋_GB2312" w:hAnsi="宋体" w:eastAsia="仿宋_GB2312"/>
          <w:b w:val="0"/>
          <w:bCs/>
          <w:sz w:val="32"/>
          <w:szCs w:val="32"/>
        </w:rPr>
        <w:cr/>
      </w:r>
      <w:r>
        <w:rPr>
          <w:rFonts w:hint="eastAsia" w:ascii="仿宋_GB2312" w:hAnsi="宋体" w:eastAsia="仿宋_GB2312"/>
          <w:b w:val="0"/>
          <w:bCs/>
          <w:sz w:val="32"/>
          <w:szCs w:val="32"/>
        </w:rPr>
        <w:t>　　本部门中，行政单位0家，参公单位2家，事业单位9家，纳入克州财政局年部预算编制范围的二级预算单位包括：国库支付中心、</w:t>
      </w:r>
      <w:r>
        <w:rPr>
          <w:rFonts w:hint="eastAsia" w:ascii="仿宋_GB2312" w:hAnsi="宋体" w:eastAsia="仿宋_GB2312"/>
          <w:b w:val="0"/>
          <w:bCs/>
          <w:sz w:val="32"/>
          <w:szCs w:val="32"/>
        </w:rPr>
        <w:cr/>
      </w:r>
      <w:r>
        <w:rPr>
          <w:rFonts w:hint="eastAsia" w:ascii="仿宋_GB2312" w:hAnsi="宋体" w:eastAsia="仿宋_GB2312"/>
          <w:b w:val="0"/>
          <w:bCs/>
          <w:sz w:val="32"/>
          <w:szCs w:val="32"/>
        </w:rPr>
        <w:t>政府采购服务中心、国有资产运营和金融服务中心、财政信息化管理中心、乡镇财政财务管理中心、扶贫资金管理中心、债务管理中心、部门预算审核中心、财政绩效评价中心、社会基金管理中心、财政工资统发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克州财政局编制数86，实有人数126人，其中：在职77人，增加0人；退休49人，增加0人；离休0人，增加0人。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本年度计划发放人员工资126人，各类财政业务工作与全州138家预算单位进行协调、对接完成，执行全州预算、决算各一次，组织初级职称、中级职称考试各一次，各类资金拨付超过50次，项目资金覆盖率达到100%，审核预算、决算合格率达到100%，全年各类资金使用合理、合规化达到100%，年度考核合格率为100%，评定为优秀等级单位，有效保障全州经济发展和促进社会稳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财政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（2）收支管理：领导层是本单位收支业务管理的决策部门，负责审批单位收支业务等事项。涉及“三重一大”事项，根据《克州财政局集体决策制度》和《克州财政局项目管理办法》办理。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财政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财政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1393.99万元，项目支出安排资金489.07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本单位2021年度项目支出489.07万元，涉及项目数量10个，其中：重点项目支出107.6万元，涉及重点项目数量1个，重点项目支出与部门项目总支出的比率为22%。</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2021年度本单位年初批复部门预算资金总额为1681.12万元，年中调增预算总额为201.94万元，调整后全年预算资金总额为1883.06万元。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2021年度本单位部门整体支出资金总额为1883.06万元，预算执行率为100%，预算调整率为</w:t>
      </w:r>
      <w:r>
        <w:rPr>
          <w:rFonts w:hint="eastAsia" w:ascii="仿宋_GB2312" w:hAnsi="宋体" w:eastAsia="仿宋_GB2312"/>
          <w:b w:val="0"/>
          <w:bCs/>
          <w:sz w:val="32"/>
          <w:szCs w:val="32"/>
          <w:lang w:val="en-US" w:eastAsia="zh-CN"/>
        </w:rPr>
        <w:t>12.01</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年初政府采购预算数为15.2万元，实际政府采购数为47.03万元，政府采购执行率为309.41%。</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4D5BFAC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685F39C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为加强我单位预算管理、规范财务行为我单位制定了《克州财政局内部控制规范》《克州财政局项目管理规范》等资金管理制度，已建立制度均健全且有效运行。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2021年度我单位基本支出预算总额为1393.99万元，其中人员经费1277.35万元，公用经费116.63万元。实际执行总额为1393.99万元，预算执行率100%。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16.34万元，比上年增加2.94万元，增加21.97%，主要原因是：本年度公务接待较上年增加。其中，因公出国（境）费支出0万元；公务用车购置及运行维护费支出8.57万元；公务接待费支出7.78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与年初预算数相比情况：一般公共预算“三公”经费支出年初预算数19万元，预算执行数为16.34万元，执行率为86%，主要原因是：按照厉行节约的要求，2021年缩减公务车运行维护费，因此支出随之减少。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2021年度本单位项目支出预算总额为559.49万元，实际执行资金总额为489.07万元，预算执行率为87.41%。</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2021年度预算安排专项资金81.04万元，实际支出资金56.95万元，预算执行率为70.27%，涉及项目个数3个，专项经费按照政策要求实行专款专用，不存在截留、挤占、挪用、虚列支出。各项目详细执行情况如下：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第一书记工作经费、为民办实事工作经费项目：全年预算数为60.04万元，预算执行数为37.75万元，预算执行率为62.87%。偏差原因：该项目已完成，结余结转22.29万元。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改进措施：下年度做好分月、分季度设定工作计划，精准做好预算。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会计职称考试考务费项目：全年预算数为7.4万元，预算执行数为5.6万元，预算执行率为75.68%。</w:t>
      </w:r>
      <w:r>
        <w:rPr>
          <w:rFonts w:hint="eastAsia" w:ascii="仿宋_GB2312" w:hAnsi="宋体" w:eastAsia="仿宋_GB2312"/>
          <w:b w:val="0"/>
          <w:bCs/>
          <w:sz w:val="32"/>
          <w:szCs w:val="32"/>
        </w:rPr>
        <w:cr/>
      </w:r>
      <w:r>
        <w:rPr>
          <w:rFonts w:hint="eastAsia" w:ascii="仿宋_GB2312" w:hAnsi="宋体" w:eastAsia="仿宋_GB2312"/>
          <w:b w:val="0"/>
          <w:bCs/>
          <w:sz w:val="32"/>
          <w:szCs w:val="32"/>
        </w:rPr>
        <w:t>　　电子支付信息化建设经费项目：全年预算数为13.60万元，预算执行数为13.60万元，预算执行率为100%。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2021年度预算安排本级财力资金478.45万元，实际支出资金432.12万元，预算执行率为90.32%，涉及项目个数7个，各项目详细执行情况如下：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财政业务咨询、培训相关费用项目：全年预算数为232.8万元，预算执行数为208.77万元，预算执行率为89.68%。</w:t>
      </w:r>
      <w:r>
        <w:rPr>
          <w:rFonts w:hint="eastAsia" w:ascii="仿宋_GB2312" w:hAnsi="宋体" w:eastAsia="仿宋_GB2312"/>
          <w:b w:val="0"/>
          <w:bCs/>
          <w:sz w:val="32"/>
          <w:szCs w:val="32"/>
        </w:rPr>
        <w:cr/>
      </w:r>
      <w:r>
        <w:rPr>
          <w:rFonts w:hint="eastAsia" w:ascii="仿宋_GB2312" w:hAnsi="宋体" w:eastAsia="仿宋_GB2312"/>
          <w:b w:val="0"/>
          <w:bCs/>
          <w:sz w:val="32"/>
          <w:szCs w:val="32"/>
        </w:rPr>
        <w:t>　　平台运营费项目：全年预算数为85万元，预算执行数为85万元，预算执行率为100%。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委托第三方机构开展扶贫项目资金监督管理经费项目：全年预算数为9万元，预算执行数为9万元，预算执行率为100%。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自治州政府债务系统委托管理维护经费项目：全年预算数为28万元，预算执行数为14万元，预算执行率为50%。</w:t>
      </w:r>
      <w:r>
        <w:rPr>
          <w:rFonts w:hint="eastAsia" w:ascii="仿宋_GB2312" w:hAnsi="宋体" w:eastAsia="仿宋_GB2312"/>
          <w:b w:val="0"/>
          <w:bCs/>
          <w:sz w:val="32"/>
          <w:szCs w:val="32"/>
        </w:rPr>
        <w:cr/>
      </w:r>
      <w:r>
        <w:rPr>
          <w:rFonts w:hint="eastAsia" w:ascii="仿宋_GB2312" w:hAnsi="宋体" w:eastAsia="仿宋_GB2312"/>
          <w:b w:val="0"/>
          <w:bCs/>
          <w:sz w:val="32"/>
          <w:szCs w:val="32"/>
        </w:rPr>
        <w:t>　　财政票据款项目：全年预算数为37.01万元，预算执行数为37.01万元，预算执行率为100%。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联建工作经费项目：全年预算数为24.00万元，预算执行数为24.00万元，预算执行率为100%。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财政业务系统维护费项目：全年预算数为62.64万元，预算执行数为54.34万元，预算执行率为86.75%。</w:t>
      </w:r>
    </w:p>
    <w:p w14:paraId="6F63B1B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ACB57A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70.27%。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会计职称考试考务费项目：关于拨付全区会计考试考务工作经费的通知（克财行[2021]44号）。</w:t>
      </w:r>
      <w:r>
        <w:rPr>
          <w:rFonts w:hint="eastAsia" w:ascii="仿宋_GB2312" w:hAnsi="宋体" w:eastAsia="仿宋_GB2312"/>
          <w:b w:val="0"/>
          <w:bCs/>
          <w:sz w:val="32"/>
          <w:szCs w:val="32"/>
        </w:rPr>
        <w:cr/>
      </w:r>
      <w:r>
        <w:rPr>
          <w:rFonts w:hint="eastAsia" w:ascii="仿宋_GB2312" w:hAnsi="宋体" w:eastAsia="仿宋_GB2312"/>
          <w:b w:val="0"/>
          <w:bCs/>
          <w:sz w:val="32"/>
          <w:szCs w:val="32"/>
        </w:rPr>
        <w:t>　　电子支付信息化建设经费项目：克财行[2021]32号、新财行[2021]133号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81.04万元，资金全部到位，实际使用资金56.95万元，专项资金执行率为70.27%。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①制订《克州财政局经费使用规范》，为合理合规使用经费提供了有力的制度保障。同时，建立区委组织部项目经费内部管控制度，并严格按要求落实。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w:t>
      </w:r>
      <w:r>
        <w:rPr>
          <w:rFonts w:hint="eastAsia" w:ascii="仿宋_GB2312" w:hAnsi="宋体" w:eastAsia="仿宋_GB2312"/>
          <w:b w:val="0"/>
          <w:bCs/>
          <w:sz w:val="32"/>
          <w:szCs w:val="32"/>
          <w:lang w:eastAsia="zh-CN"/>
        </w:rPr>
        <w:t>及</w:t>
      </w:r>
      <w:r>
        <w:rPr>
          <w:rFonts w:hint="eastAsia" w:ascii="仿宋_GB2312" w:hAnsi="宋体" w:eastAsia="仿宋_GB2312"/>
          <w:b w:val="0"/>
          <w:bCs/>
          <w:sz w:val="32"/>
          <w:szCs w:val="32"/>
        </w:rPr>
        <w:t>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成本节约：我单位3个项目成本均未超预算，预算执行率达70.27%。</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主要用于我单位驻村工作队开展为民办实事专项工作，通过该项目实施为群众带去温暖，宣传国家相关政策及法律法规，维护社会稳定和长治久安，从而提高群众幸福度和归属感。</w:t>
      </w:r>
      <w:r>
        <w:rPr>
          <w:rFonts w:hint="eastAsia" w:ascii="仿宋_GB2312" w:hAnsi="宋体" w:eastAsia="仿宋_GB2312"/>
          <w:b w:val="0"/>
          <w:bCs/>
          <w:sz w:val="32"/>
          <w:szCs w:val="32"/>
        </w:rPr>
        <w:cr/>
      </w:r>
      <w:r>
        <w:rPr>
          <w:rFonts w:hint="eastAsia" w:ascii="仿宋_GB2312" w:hAnsi="宋体" w:eastAsia="仿宋_GB2312"/>
          <w:b w:val="0"/>
          <w:bCs/>
          <w:sz w:val="32"/>
          <w:szCs w:val="32"/>
        </w:rPr>
        <w:t>　　会计职称考试考务费项目：主要用于会计职称考试工作，有利于2021年会计初、中支撑考试按时顺利开展，及时发放考试费用，为各行业部门选拔会计人才，为社会发展进步做出贡献，为克州的经济发展提供会计人才支撑。</w:t>
      </w:r>
      <w:r>
        <w:rPr>
          <w:rFonts w:hint="eastAsia" w:ascii="仿宋_GB2312" w:hAnsi="宋体" w:eastAsia="仿宋_GB2312"/>
          <w:b w:val="0"/>
          <w:bCs/>
          <w:sz w:val="32"/>
          <w:szCs w:val="32"/>
        </w:rPr>
        <w:cr/>
      </w:r>
      <w:r>
        <w:rPr>
          <w:rFonts w:hint="eastAsia" w:ascii="仿宋_GB2312" w:hAnsi="宋体" w:eastAsia="仿宋_GB2312"/>
          <w:b w:val="0"/>
          <w:bCs/>
          <w:sz w:val="32"/>
          <w:szCs w:val="32"/>
        </w:rPr>
        <w:t>　　电子支付信息化建设经费项目：主要用于信息化建设费用补助，有利于确保2022年1月1日起州本级使用一体化系统办理资金支付、会计核算等业务。</w:t>
      </w:r>
    </w:p>
    <w:p w14:paraId="0773839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22FD11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本单位2021年初资产合计数为501.29万元，年末资产合计数为592.12万元。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w:t>
      </w:r>
      <w:r>
        <w:rPr>
          <w:rFonts w:hint="eastAsia" w:ascii="仿宋_GB2312" w:hAnsi="宋体" w:eastAsia="仿宋_GB2312"/>
          <w:b w:val="0"/>
          <w:bCs/>
          <w:sz w:val="32"/>
          <w:szCs w:val="32"/>
          <w:lang w:eastAsia="zh-CN"/>
        </w:rPr>
        <w:t>及</w:t>
      </w:r>
      <w:r>
        <w:rPr>
          <w:rFonts w:hint="eastAsia" w:ascii="仿宋_GB2312" w:hAnsi="宋体" w:eastAsia="仿宋_GB2312"/>
          <w:b w:val="0"/>
          <w:bCs/>
          <w:sz w:val="32"/>
          <w:szCs w:val="32"/>
        </w:rPr>
        <w:t>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截止本年度固定资产账面净值346.25万元，年末实际在用固定资产346.25万元，固定资产利用率为100%。</w:t>
      </w:r>
    </w:p>
    <w:p w14:paraId="4170940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C0FEA3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部门单位整体支出共设置一级指标3个，二级指标7个，三级指标16个，其中已完成三级指标15个，指标完成率为93.75%。</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发放工资月平均人数指标，预期指标是等于=77人，实际完成值是77人，指标完成率是100%，达到预期目标。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财政业务服务单位数指标，预期指标是=148个，实际完成值是148个，指标完成率是100%，达到预期目标。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执行预决算次数指标，预期指标是=2次，实际完成值是2次，指标完成率是100%，达到预期目标。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各类资金拨付次数指标，预期指标是&gt;=50次，实际完成值是10次，指标完成率是100%，达到预期目标。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年底考核合格率指标，预期指标是=100%，实际完成值是100%，指标完成率是100%，达到预期目标。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财政资金监督检查覆盖率指标，预期指标是=100%，实际完成值是100%，指标完成率是100%，达到预期目标。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审核预决算合格率指标，预期指标是=100%，实际完成值是100%，指标完成率是100%，达到预期目标。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项目资金绩效覆盖率指标，预期指标是=100%，实际完成值是100%，指标完成率是100%，达到预期目标。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各类财政资金支付及时率指标，预期指标是等于100%，实际完成值是100%，指标完成率是100%，达到预期目标。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全年各类工作完成及时率指标，预期指标是等于100%，实际完成值是100%，指标完成率是100%，达到预期目标。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人员经费指标，预期指标是=1060.12万元，实际完成值是308.90万元，指标完成率是100%，达到预期目标。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公用经费指标，预期指标是=170.56万元，实际完成值是170.56万元，指标完成率是100%，达到预期目标。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是=450.44万元，实际完成值是400.82万元，指标完成率是88.98%，未达到预期目标。1.偏差原因：财政业务询、培训相关费用因会计科未办会计培训业务，导致资金未支出。改进措施：加强情防控措施，进行分批次办会计业务培训。</w:t>
      </w:r>
      <w:r>
        <w:rPr>
          <w:rFonts w:hint="eastAsia" w:ascii="仿宋_GB2312" w:hAnsi="宋体" w:eastAsia="仿宋_GB2312"/>
          <w:b w:val="0"/>
          <w:bCs/>
          <w:sz w:val="32"/>
          <w:szCs w:val="32"/>
        </w:rPr>
        <w:cr/>
      </w:r>
      <w:r>
        <w:rPr>
          <w:rFonts w:hint="eastAsia" w:ascii="仿宋_GB2312" w:hAnsi="宋体" w:eastAsia="仿宋_GB2312"/>
          <w:b w:val="0"/>
          <w:bCs/>
          <w:sz w:val="32"/>
          <w:szCs w:val="32"/>
        </w:rPr>
        <w:t>　　2.偏差原因：为民办实事及第一书记工作经费因驻村工作队未进行及时报账，导致资金未支付。改进措施：加强为民办实事经费管理，督促驻村人员报账进度，及时完成项目支出。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3.偏差原因：财政业务系统维护费、维保费因驻场工程人员无法到现场实地，导致财政信息中心换网络设备，项目未完成，资金未支付。改进措施：加强防控措施，督促驻场工程到实地察，进行换网络设备。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保障工作情况指标，预期指标是有效保障，实际完成值是有效保障，指标完成率是100%，达到预期目标。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促进社会稳定和经济发展指标，预期指标是有效促进，实际完成值是有效促进，指标完成率是100%，达到预期目标。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服务对象满意度指标，预期指标是大于等于95%，实际完成值是95%，指标完成率是1，达到预期目标。</w:t>
      </w:r>
    </w:p>
    <w:p w14:paraId="3B0F660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2AFA208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1FE31CD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6173B0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16A0B56"/>
    <w:rsid w:val="020B07BA"/>
    <w:rsid w:val="02656D15"/>
    <w:rsid w:val="06696209"/>
    <w:rsid w:val="0D1922F1"/>
    <w:rsid w:val="106470DF"/>
    <w:rsid w:val="108622B3"/>
    <w:rsid w:val="1438599A"/>
    <w:rsid w:val="1AF17980"/>
    <w:rsid w:val="200F4073"/>
    <w:rsid w:val="24B86128"/>
    <w:rsid w:val="42C207D3"/>
    <w:rsid w:val="42D600A6"/>
    <w:rsid w:val="51C70EA9"/>
    <w:rsid w:val="54F842B6"/>
    <w:rsid w:val="5E1C4535"/>
    <w:rsid w:val="656071F2"/>
    <w:rsid w:val="6BF1756B"/>
    <w:rsid w:val="6F5E1AA3"/>
    <w:rsid w:val="79180AA2"/>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10135</Words>
  <Characters>10759</Characters>
  <Lines>2</Lines>
  <Paragraphs>1</Paragraphs>
  <TotalTime>28</TotalTime>
  <ScaleCrop>false</ScaleCrop>
  <LinksUpToDate>false</LinksUpToDate>
  <CharactersWithSpaces>11073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2025-07-31T03:08:08Z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